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4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09:03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3">
                <draw:image xlink:href="Pictures/100000010000080000000800C9F7B2FE.png" xlink:type="simple" xlink:show="embed" xlink:actuate="onLoad" draw:mime-type="image/png"/>
              </draw:frame>
              6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aan de orde aanbesteden.005 VVD.pdf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121,71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aan-de-orde-aanbesteden-005-VVD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Amendement gebruikersraad mfc GL.pdf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gebruikersraad-mfc-GL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 GR Permar.004 VVD PRD RZS.pdf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96,75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R-Permar-004-VVD-PRD-RZS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Motie GR Permar RZS.pdf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GR-Permar-RZS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Amendement 
              <text:s/>
              begroting Permar 2016 PvdA D66.pdf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mendement-begroting-Permar-2016-PvdA-D66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Amendement Onderzoeksrapport Permar RZS.pdf
              <text:span text:style-name="T2"/>
            </text:p>
            <text:p text:style-name="P3"/>
          </table:table-cell>
          <table:table-cell table:style-name="Table3.A2" office:value-type="string">
            <text:p text:style-name="P4">17-11-2015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15/25-november/20:00/Permar-WS-Onderzoekrapport-Permar/Amendement-Onderzoeksrapport-Permar-RZS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5" meta:object-count="0" meta:page-count="1" meta:paragraph-count="47" meta:word-count="87" meta:character-count="534" meta:non-whitespace-character-count="4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1326525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1326525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