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21:32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Infographic Begroting Renkum 2025 
              <text:span text:style-name="T2"/>
            </text:p>
            <text:p text:style-name="P3"/>
          </table:table-cell>
          <table:table-cell table:style-name="Table3.A2" office:value-type="string">
            <text:p text:style-name="P4">07-11-2024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2,17 MB</text:p>
          </table:table-cell>
          <table:table-cell table:style-name="Table3.A2" office:value-type="string">
            <text:p text:style-name="P22">
              <text:a xlink:type="simple" xlink:href="https://raad.renkum.nl/Documenten/Infographic-Begroting-Renkum-2025-definiti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Griffieplan 2024 Gemeenteraad Renkum- versie maart 2024
              <text:span text:style-name="T2"/>
            </text:p>
            <text:p text:style-name="P3"/>
          </table:table-cell>
          <table:table-cell table:style-name="Table3.A2" office:value-type="string">
            <text:p text:style-name="P4">28-03-2024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173,76 KB</text:p>
          </table:table-cell>
          <table:table-cell table:style-name="Table3.A2" office:value-type="string">
            <text:p text:style-name="P22">
              <text:a xlink:type="simple" xlink:href="https://raad.renkum.nl/Documenten/Griffieplan-2024-Gemeenteraad-Renkum-versie-maart-2024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1" meta:character-count="259" meta:non-whitespace-character-count="2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254108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254108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