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16:27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Rekenkamercommissie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2017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RKC rapport ICT-rapport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988,56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17/15-november/08:45/RKC-rapport-ICT-rapport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RKC rapport ICT-Aanbiedingsbrief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92,43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17/15-november/08:45/RKC-rapport-ICT-Aanbiedingsbrief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36" meta:character-count="235" meta:non-whitespace-character-count="22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907473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907473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